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1849" w14:textId="3748103C" w:rsidR="00124983" w:rsidRDefault="00A013E5"/>
    <w:p w14:paraId="62A391AE" w14:textId="165AF4EF" w:rsidR="007F1A21" w:rsidRPr="00CC2A6C" w:rsidRDefault="00987E24" w:rsidP="007F1A21">
      <w:pPr>
        <w:tabs>
          <w:tab w:val="left" w:pos="1050"/>
        </w:tabs>
        <w:jc w:val="center"/>
        <w:rPr>
          <w:b/>
          <w:bCs/>
        </w:rPr>
      </w:pPr>
      <w:r>
        <w:rPr>
          <w:b/>
          <w:bCs/>
        </w:rPr>
        <w:t>Reading Is for Everyone</w:t>
      </w:r>
      <w:r w:rsidR="007F1A21" w:rsidRPr="00CC2A6C">
        <w:rPr>
          <w:b/>
          <w:bCs/>
        </w:rPr>
        <w:t xml:space="preserve"> Programming Kit</w:t>
      </w:r>
    </w:p>
    <w:p w14:paraId="6877720E" w14:textId="1ABF1CDA" w:rsidR="007F1A21" w:rsidRDefault="00A00EE3" w:rsidP="007F1A21">
      <w:pPr>
        <w:tabs>
          <w:tab w:val="left" w:pos="1050"/>
        </w:tabs>
        <w:jc w:val="center"/>
      </w:pPr>
      <w:r>
        <w:t>PowerPoint</w:t>
      </w:r>
      <w:r w:rsidR="007F1A21">
        <w:t xml:space="preserve"> notes</w:t>
      </w:r>
    </w:p>
    <w:p w14:paraId="4E438A84" w14:textId="34CD7F04" w:rsidR="007F1A21" w:rsidRDefault="003A7300" w:rsidP="003A7300">
      <w:pPr>
        <w:tabs>
          <w:tab w:val="left" w:pos="1050"/>
        </w:tabs>
      </w:pPr>
      <w:r w:rsidRPr="00987E24">
        <w:rPr>
          <w:b/>
          <w:bCs/>
        </w:rPr>
        <w:t>Note:</w:t>
      </w:r>
      <w:r>
        <w:t xml:space="preserve"> </w:t>
      </w:r>
      <w:r w:rsidR="00E27058">
        <w:t>The</w:t>
      </w:r>
      <w:r>
        <w:t xml:space="preserve"> Talking Book player </w:t>
      </w:r>
      <w:r w:rsidR="00E27058">
        <w:t xml:space="preserve">should be fully charged when you receive it.   However, we suggest you plug it </w:t>
      </w:r>
      <w:r>
        <w:t>into a power outlet to let it charge for 2-3 hours before use.</w:t>
      </w:r>
    </w:p>
    <w:p w14:paraId="4A8E9638" w14:textId="5B25AD0C" w:rsidR="00A013E5" w:rsidRDefault="00A013E5" w:rsidP="003A7300">
      <w:pPr>
        <w:tabs>
          <w:tab w:val="left" w:pos="1050"/>
        </w:tabs>
      </w:pPr>
    </w:p>
    <w:p w14:paraId="10E572DE" w14:textId="77777777" w:rsidR="00A013E5" w:rsidRPr="00A013E5" w:rsidRDefault="00A013E5" w:rsidP="00A013E5">
      <w:pPr>
        <w:pStyle w:val="NoSpacing"/>
        <w:rPr>
          <w:b/>
          <w:bCs/>
        </w:rPr>
      </w:pPr>
      <w:r w:rsidRPr="00A013E5">
        <w:rPr>
          <w:b/>
          <w:bCs/>
        </w:rPr>
        <w:t>Promotional description for libraries:</w:t>
      </w:r>
    </w:p>
    <w:p w14:paraId="4D74578F" w14:textId="77777777" w:rsidR="00A013E5" w:rsidRDefault="00A013E5" w:rsidP="00A013E5">
      <w:pPr>
        <w:pStyle w:val="NoSpacing"/>
      </w:pPr>
      <w:r>
        <w:t xml:space="preserve">If you or someone you know has trouble seeing regular print, cannot hold a book, or has dyslexia, expand your reading options with free service from the Kentucky Talking Book Library.  Discover how to get Talking Books delivered to your mailbox or downloaded to your device.  </w:t>
      </w:r>
    </w:p>
    <w:p w14:paraId="54AFEF80" w14:textId="77777777" w:rsidR="00373183" w:rsidRDefault="00373183" w:rsidP="003A7300">
      <w:pPr>
        <w:tabs>
          <w:tab w:val="left" w:pos="1050"/>
        </w:tabs>
      </w:pPr>
    </w:p>
    <w:p w14:paraId="62CE6C2B" w14:textId="04F62786" w:rsidR="007F1A21" w:rsidRDefault="007F1A21" w:rsidP="007F1A21">
      <w:pPr>
        <w:tabs>
          <w:tab w:val="left" w:pos="1050"/>
        </w:tabs>
      </w:pPr>
      <w:r w:rsidRPr="00987E24">
        <w:rPr>
          <w:b/>
          <w:bCs/>
        </w:rPr>
        <w:t>Slide 5</w:t>
      </w:r>
      <w:r>
        <w:t xml:space="preserve">—demonstrate opening the mailing container, removing the cartridge, and putting it into the player.  You </w:t>
      </w:r>
      <w:r w:rsidR="00163A90">
        <w:t>should turn the player on before inserting the cartridge to start play.</w:t>
      </w:r>
    </w:p>
    <w:p w14:paraId="6BB8B0CC" w14:textId="77777777" w:rsidR="00373183" w:rsidRDefault="00373183" w:rsidP="007F1A21">
      <w:pPr>
        <w:tabs>
          <w:tab w:val="left" w:pos="1050"/>
        </w:tabs>
        <w:rPr>
          <w:b/>
          <w:bCs/>
        </w:rPr>
      </w:pPr>
    </w:p>
    <w:p w14:paraId="3EDC355D" w14:textId="7C83EA19" w:rsidR="007F1A21" w:rsidRDefault="007F1A21" w:rsidP="007F1A21">
      <w:pPr>
        <w:tabs>
          <w:tab w:val="left" w:pos="1050"/>
        </w:tabs>
      </w:pPr>
      <w:r w:rsidRPr="00987E24">
        <w:rPr>
          <w:b/>
          <w:bCs/>
        </w:rPr>
        <w:t>Slide 6</w:t>
      </w:r>
      <w:r>
        <w:t>—demonstrate each feature of the player.</w:t>
      </w:r>
    </w:p>
    <w:p w14:paraId="74E5A813" w14:textId="7F490E0C" w:rsidR="007F1A21" w:rsidRDefault="007F1A21" w:rsidP="007F1A21">
      <w:pPr>
        <w:pStyle w:val="ListParagraph"/>
        <w:numPr>
          <w:ilvl w:val="0"/>
          <w:numId w:val="1"/>
        </w:numPr>
        <w:tabs>
          <w:tab w:val="left" w:pos="1050"/>
        </w:tabs>
      </w:pPr>
      <w:r>
        <w:t xml:space="preserve">Demonstrate built-in audio instructions: with no cartridge in the player, turn it on and press any button to hear how </w:t>
      </w:r>
      <w:r w:rsidR="003F6959">
        <w:t>that feature</w:t>
      </w:r>
      <w:r>
        <w:t xml:space="preserve"> works.</w:t>
      </w:r>
    </w:p>
    <w:p w14:paraId="0F76EBD2" w14:textId="626958D8" w:rsidR="007F1A21" w:rsidRDefault="007F1A21" w:rsidP="007F1A21">
      <w:pPr>
        <w:pStyle w:val="ListParagraph"/>
        <w:numPr>
          <w:ilvl w:val="0"/>
          <w:numId w:val="1"/>
        </w:numPr>
        <w:tabs>
          <w:tab w:val="left" w:pos="1050"/>
        </w:tabs>
      </w:pPr>
      <w:r>
        <w:t>If the player remains paused too long, the power will turn off automatically to save the battery.</w:t>
      </w:r>
    </w:p>
    <w:p w14:paraId="6B9CD95E" w14:textId="77777777" w:rsidR="00612890" w:rsidRDefault="007F1A21" w:rsidP="00612890">
      <w:pPr>
        <w:pStyle w:val="ListParagraph"/>
        <w:numPr>
          <w:ilvl w:val="0"/>
          <w:numId w:val="1"/>
        </w:numPr>
        <w:tabs>
          <w:tab w:val="left" w:pos="1050"/>
        </w:tabs>
      </w:pPr>
      <w:r>
        <w:t>You can press the Sleep button up to 4 times to set the player to play for up to an hour before shutting off automatically.</w:t>
      </w:r>
    </w:p>
    <w:p w14:paraId="135F1D4A" w14:textId="3254EF09" w:rsidR="002D0B2F" w:rsidRDefault="002D0B2F" w:rsidP="00612890">
      <w:pPr>
        <w:pStyle w:val="ListParagraph"/>
        <w:numPr>
          <w:ilvl w:val="0"/>
          <w:numId w:val="1"/>
        </w:numPr>
        <w:tabs>
          <w:tab w:val="left" w:pos="1050"/>
        </w:tabs>
      </w:pPr>
      <w:r>
        <w:t xml:space="preserve">KTBL can also provide headphones for people with hearing difficulties or those who live in a group home. </w:t>
      </w:r>
    </w:p>
    <w:p w14:paraId="2E8E1431" w14:textId="77777777" w:rsidR="00373183" w:rsidRDefault="00373183" w:rsidP="007F1A21">
      <w:pPr>
        <w:tabs>
          <w:tab w:val="left" w:pos="1050"/>
        </w:tabs>
        <w:rPr>
          <w:b/>
          <w:bCs/>
        </w:rPr>
      </w:pPr>
    </w:p>
    <w:p w14:paraId="6EE60ED9" w14:textId="27637BB8" w:rsidR="00E61B4A" w:rsidRDefault="007F1A21" w:rsidP="007F1A21">
      <w:pPr>
        <w:tabs>
          <w:tab w:val="left" w:pos="1050"/>
        </w:tabs>
      </w:pPr>
      <w:r w:rsidRPr="00987E24">
        <w:rPr>
          <w:b/>
          <w:bCs/>
        </w:rPr>
        <w:t>Slide 7</w:t>
      </w:r>
      <w:r>
        <w:t>—</w:t>
      </w:r>
      <w:r w:rsidR="00E61B4A">
        <w:t xml:space="preserve">Demonstrate moving from one book to the next by holding down the fast forward button until it announces, “End of Book”, then press Play/Stop to move to the next book.  </w:t>
      </w:r>
      <w:r>
        <w:t>Cartridges with more than 1 book may have instructions as the first book.</w:t>
      </w:r>
    </w:p>
    <w:p w14:paraId="6CCFA420" w14:textId="4AADF978" w:rsidR="00E61B4A" w:rsidRDefault="00E61B4A" w:rsidP="007F1A21">
      <w:pPr>
        <w:tabs>
          <w:tab w:val="left" w:pos="1050"/>
        </w:tabs>
      </w:pPr>
      <w:r>
        <w:t>A Bookshelf feature allows users to select which book they want to read.  Contact KTBL for more information on this feature.</w:t>
      </w:r>
    </w:p>
    <w:p w14:paraId="4CE81F36" w14:textId="77777777" w:rsidR="00373183" w:rsidRDefault="00373183" w:rsidP="007F1A21">
      <w:pPr>
        <w:tabs>
          <w:tab w:val="left" w:pos="1050"/>
        </w:tabs>
        <w:rPr>
          <w:b/>
          <w:bCs/>
        </w:rPr>
      </w:pPr>
    </w:p>
    <w:p w14:paraId="444B4BA2" w14:textId="1BA9672E" w:rsidR="007F1A21" w:rsidRDefault="00E61B4A" w:rsidP="007F1A21">
      <w:pPr>
        <w:tabs>
          <w:tab w:val="left" w:pos="1050"/>
        </w:tabs>
      </w:pPr>
      <w:r w:rsidRPr="00987E24">
        <w:rPr>
          <w:b/>
          <w:bCs/>
        </w:rPr>
        <w:t>Slide 8</w:t>
      </w:r>
      <w:r>
        <w:t>—Demonstrate removing the cartridge from the player, replacing it into the mailing container, and removing the patron address card.</w:t>
      </w:r>
    </w:p>
    <w:p w14:paraId="6E0830AB" w14:textId="77777777" w:rsidR="00373183" w:rsidRDefault="00373183" w:rsidP="00482214">
      <w:pPr>
        <w:tabs>
          <w:tab w:val="left" w:pos="1050"/>
        </w:tabs>
        <w:rPr>
          <w:b/>
          <w:bCs/>
        </w:rPr>
      </w:pPr>
    </w:p>
    <w:p w14:paraId="06F67BD1" w14:textId="000229BF" w:rsidR="002D0B2F" w:rsidRDefault="00163A90" w:rsidP="00482214">
      <w:pPr>
        <w:tabs>
          <w:tab w:val="left" w:pos="1050"/>
        </w:tabs>
      </w:pPr>
      <w:r w:rsidRPr="00987E24">
        <w:rPr>
          <w:b/>
          <w:bCs/>
        </w:rPr>
        <w:t>Slide 11</w:t>
      </w:r>
      <w:r>
        <w:t>—</w:t>
      </w:r>
      <w:r w:rsidR="00482214">
        <w:t>the web addresses for the online catalogs will be in our New Patron Guide.</w:t>
      </w:r>
    </w:p>
    <w:p w14:paraId="35CC4082" w14:textId="77777777" w:rsidR="002D0B2F" w:rsidRDefault="002D0B2F" w:rsidP="00482214">
      <w:pPr>
        <w:tabs>
          <w:tab w:val="left" w:pos="1050"/>
        </w:tabs>
      </w:pPr>
    </w:p>
    <w:p w14:paraId="09ABCEA1" w14:textId="3F0843A6" w:rsidR="002D0B2F" w:rsidRDefault="00482214" w:rsidP="007F1A21">
      <w:pPr>
        <w:tabs>
          <w:tab w:val="left" w:pos="1050"/>
        </w:tabs>
      </w:pPr>
      <w:r>
        <w:t>After the presentation</w:t>
      </w:r>
      <w:r w:rsidR="00612890">
        <w:t xml:space="preserve"> l</w:t>
      </w:r>
      <w:r w:rsidR="00861E8B">
        <w:t>ibrary</w:t>
      </w:r>
      <w:r>
        <w:t xml:space="preserve"> staff may </w:t>
      </w:r>
      <w:r w:rsidR="0039155C">
        <w:t>assist</w:t>
      </w:r>
      <w:r>
        <w:t xml:space="preserve"> interested patrons </w:t>
      </w:r>
      <w:r w:rsidR="0039155C">
        <w:t xml:space="preserve">in </w:t>
      </w:r>
      <w:r>
        <w:t>fill</w:t>
      </w:r>
      <w:r w:rsidR="0039155C">
        <w:t>ing</w:t>
      </w:r>
      <w:r>
        <w:t xml:space="preserve"> out KTBL applications.  Professional librarians may certify the applications.</w:t>
      </w:r>
    </w:p>
    <w:p w14:paraId="322A6B98" w14:textId="77777777" w:rsidR="003A7300" w:rsidRDefault="003A7300" w:rsidP="007F1A21">
      <w:pPr>
        <w:tabs>
          <w:tab w:val="left" w:pos="1050"/>
        </w:tabs>
      </w:pPr>
    </w:p>
    <w:p w14:paraId="7BFE3D58" w14:textId="4EADDE73" w:rsidR="007F1A21" w:rsidRPr="003F6959" w:rsidRDefault="00482214" w:rsidP="003F6959">
      <w:pPr>
        <w:tabs>
          <w:tab w:val="left" w:pos="1050"/>
        </w:tabs>
        <w:jc w:val="center"/>
        <w:rPr>
          <w:b/>
          <w:bCs/>
        </w:rPr>
      </w:pPr>
      <w:r w:rsidRPr="003A7300">
        <w:rPr>
          <w:b/>
          <w:bCs/>
        </w:rPr>
        <w:t xml:space="preserve">Thank you for helping KTBL reach those </w:t>
      </w:r>
      <w:r w:rsidR="00C27CE5">
        <w:rPr>
          <w:b/>
          <w:bCs/>
        </w:rPr>
        <w:t xml:space="preserve">in your community </w:t>
      </w:r>
      <w:r w:rsidRPr="003A7300">
        <w:rPr>
          <w:b/>
          <w:bCs/>
        </w:rPr>
        <w:t>who can benefit from our program</w:t>
      </w:r>
      <w:r w:rsidR="002D0B2F" w:rsidRPr="003A7300">
        <w:rPr>
          <w:b/>
          <w:bCs/>
        </w:rPr>
        <w:t>!</w:t>
      </w:r>
    </w:p>
    <w:sectPr w:rsidR="007F1A21" w:rsidRPr="003F6959" w:rsidSect="00373183">
      <w:pgSz w:w="12240" w:h="15840"/>
      <w:pgMar w:top="720" w:right="1872" w:bottom="720" w:left="187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14E6F"/>
    <w:multiLevelType w:val="hybridMultilevel"/>
    <w:tmpl w:val="F6B87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696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21"/>
    <w:rsid w:val="00163A90"/>
    <w:rsid w:val="002D0B2F"/>
    <w:rsid w:val="00373183"/>
    <w:rsid w:val="0039155C"/>
    <w:rsid w:val="003A7300"/>
    <w:rsid w:val="003F6959"/>
    <w:rsid w:val="0047314E"/>
    <w:rsid w:val="00482214"/>
    <w:rsid w:val="00531944"/>
    <w:rsid w:val="00612890"/>
    <w:rsid w:val="007F1A21"/>
    <w:rsid w:val="00861E8B"/>
    <w:rsid w:val="00987E24"/>
    <w:rsid w:val="00A00EE3"/>
    <w:rsid w:val="00A013E5"/>
    <w:rsid w:val="00C26047"/>
    <w:rsid w:val="00C27CE5"/>
    <w:rsid w:val="00CC2A6C"/>
    <w:rsid w:val="00D145A0"/>
    <w:rsid w:val="00E27058"/>
    <w:rsid w:val="00E61B4A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B5F2"/>
  <w15:chartTrackingRefBased/>
  <w15:docId w15:val="{9473C77B-1719-4322-89BE-EF5C6597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A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A9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1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0A32E0-2AA3-42E0-8864-9DCDAA90D414}"/>
</file>

<file path=customXml/itemProps2.xml><?xml version="1.0" encoding="utf-8"?>
<ds:datastoreItem xmlns:ds="http://schemas.openxmlformats.org/officeDocument/2006/customXml" ds:itemID="{D7F41C45-CF2A-402F-9F1C-C5F643212915}"/>
</file>

<file path=customXml/itemProps3.xml><?xml version="1.0" encoding="utf-8"?>
<ds:datastoreItem xmlns:ds="http://schemas.openxmlformats.org/officeDocument/2006/customXml" ds:itemID="{90F2BBD1-6773-4B09-B795-163FBBCDB7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Penegor, Barbara  (ELC)</dc:creator>
  <cp:keywords/>
  <dc:description/>
  <cp:lastModifiedBy>Crum, Cathy C (ELC)</cp:lastModifiedBy>
  <cp:revision>16</cp:revision>
  <dcterms:created xsi:type="dcterms:W3CDTF">2022-10-25T16:56:00Z</dcterms:created>
  <dcterms:modified xsi:type="dcterms:W3CDTF">2023-03-13T17:24:00Z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